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F6" w:rsidRDefault="00F515F6">
      <w:pPr>
        <w:pStyle w:val="ConsPlusNormal"/>
        <w:jc w:val="center"/>
        <w:outlineLvl w:val="0"/>
      </w:pPr>
      <w:r>
        <w:t>Информация о качестве услуг по передаче</w:t>
      </w:r>
    </w:p>
    <w:p w:rsidR="00F515F6" w:rsidRDefault="00F515F6">
      <w:pPr>
        <w:pStyle w:val="ConsPlusNormal"/>
        <w:jc w:val="center"/>
      </w:pPr>
      <w:r>
        <w:t>электрической энергии</w:t>
      </w:r>
    </w:p>
    <w:p w:rsidR="00F515F6" w:rsidRDefault="00F515F6">
      <w:pPr>
        <w:pStyle w:val="ConsPlusNormal"/>
        <w:jc w:val="both"/>
      </w:pPr>
    </w:p>
    <w:p w:rsidR="00F515F6" w:rsidRDefault="00F515F6">
      <w:pPr>
        <w:pStyle w:val="ConsPlusNormal"/>
        <w:ind w:firstLine="540"/>
        <w:jc w:val="both"/>
      </w:pPr>
      <w: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F515F6" w:rsidRDefault="00F515F6">
      <w:pPr>
        <w:pStyle w:val="ConsPlusNormal"/>
        <w:jc w:val="both"/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865"/>
        <w:gridCol w:w="953"/>
        <w:gridCol w:w="1032"/>
        <w:gridCol w:w="1187"/>
      </w:tblGrid>
      <w:tr w:rsidR="00F515F6" w:rsidTr="00E554DC">
        <w:tc>
          <w:tcPr>
            <w:tcW w:w="509" w:type="dxa"/>
            <w:vMerge w:val="restart"/>
          </w:tcPr>
          <w:p w:rsidR="00F515F6" w:rsidRDefault="00F515F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865" w:type="dxa"/>
            <w:vMerge w:val="restart"/>
          </w:tcPr>
          <w:p w:rsidR="00F515F6" w:rsidRDefault="00F515F6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172" w:type="dxa"/>
            <w:gridSpan w:val="3"/>
          </w:tcPr>
          <w:p w:rsidR="00F515F6" w:rsidRDefault="00F515F6">
            <w:pPr>
              <w:pStyle w:val="ConsPlusNormal"/>
              <w:jc w:val="center"/>
            </w:pPr>
            <w:r>
              <w:t>Значение показателя, годы</w:t>
            </w:r>
          </w:p>
        </w:tc>
      </w:tr>
      <w:tr w:rsidR="00F515F6" w:rsidTr="00E554DC">
        <w:tc>
          <w:tcPr>
            <w:tcW w:w="509" w:type="dxa"/>
            <w:vMerge/>
          </w:tcPr>
          <w:p w:rsidR="00F515F6" w:rsidRDefault="00F515F6">
            <w:pPr>
              <w:pStyle w:val="ConsPlusNormal"/>
            </w:pPr>
          </w:p>
        </w:tc>
        <w:tc>
          <w:tcPr>
            <w:tcW w:w="5865" w:type="dxa"/>
            <w:vMerge/>
          </w:tcPr>
          <w:p w:rsidR="00F515F6" w:rsidRDefault="00F515F6">
            <w:pPr>
              <w:pStyle w:val="ConsPlusNormal"/>
            </w:pPr>
          </w:p>
        </w:tc>
        <w:tc>
          <w:tcPr>
            <w:tcW w:w="953" w:type="dxa"/>
          </w:tcPr>
          <w:p w:rsidR="00F515F6" w:rsidRDefault="00D324FA">
            <w:pPr>
              <w:pStyle w:val="ConsPlusNormal"/>
              <w:jc w:val="center"/>
            </w:pPr>
            <w:r>
              <w:t>2024</w:t>
            </w:r>
          </w:p>
          <w:p w:rsidR="00D324FA" w:rsidRDefault="00D324FA">
            <w:pPr>
              <w:pStyle w:val="ConsPlusNormal"/>
              <w:jc w:val="center"/>
            </w:pPr>
          </w:p>
        </w:tc>
        <w:tc>
          <w:tcPr>
            <w:tcW w:w="1032" w:type="dxa"/>
          </w:tcPr>
          <w:p w:rsidR="00F515F6" w:rsidRDefault="00D324F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187" w:type="dxa"/>
          </w:tcPr>
          <w:p w:rsidR="00F515F6" w:rsidRDefault="00F515F6">
            <w:pPr>
              <w:pStyle w:val="ConsPlusNormal"/>
              <w:jc w:val="center"/>
            </w:pPr>
            <w:r>
              <w:t>Динамика изменения показателя</w:t>
            </w:r>
          </w:p>
        </w:tc>
      </w:tr>
      <w:tr w:rsidR="00F515F6" w:rsidTr="00E554DC">
        <w:tc>
          <w:tcPr>
            <w:tcW w:w="509" w:type="dxa"/>
          </w:tcPr>
          <w:p w:rsidR="00F515F6" w:rsidRDefault="00F515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3" w:type="dxa"/>
          </w:tcPr>
          <w:p w:rsidR="00F515F6" w:rsidRDefault="00F515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32" w:type="dxa"/>
          </w:tcPr>
          <w:p w:rsidR="00F515F6" w:rsidRDefault="00F515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87" w:type="dxa"/>
          </w:tcPr>
          <w:p w:rsidR="00F515F6" w:rsidRDefault="00F515F6">
            <w:pPr>
              <w:pStyle w:val="ConsPlusNormal"/>
              <w:jc w:val="center"/>
            </w:pPr>
            <w:r>
              <w:t>5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both"/>
            </w:pPr>
            <w:r>
              <w:t>Показатель средней продолжительности прекращений передачи электрической энергии (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454660" cy="251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32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F515F6" w:rsidRDefault="007C2FEC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F515F6" w:rsidRDefault="007C2FEC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634CDE" w:rsidP="005C7B8F">
            <w:pPr>
              <w:pStyle w:val="ConsPlusNormal"/>
              <w:jc w:val="center"/>
            </w:pPr>
            <w:r>
              <w:t>0,00703</w:t>
            </w:r>
          </w:p>
        </w:tc>
        <w:tc>
          <w:tcPr>
            <w:tcW w:w="1032" w:type="dxa"/>
          </w:tcPr>
          <w:p w:rsidR="00D1484D" w:rsidRDefault="001A0FCF" w:rsidP="006D3B6C">
            <w:pPr>
              <w:pStyle w:val="ConsPlusNormal"/>
              <w:jc w:val="center"/>
            </w:pPr>
            <w:r>
              <w:t>0,3</w:t>
            </w:r>
            <w:r w:rsidR="006D3B6C">
              <w:t>3527</w:t>
            </w:r>
          </w:p>
        </w:tc>
        <w:tc>
          <w:tcPr>
            <w:tcW w:w="1187" w:type="dxa"/>
          </w:tcPr>
          <w:p w:rsidR="00F515F6" w:rsidRDefault="00522838" w:rsidP="008035DB">
            <w:pPr>
              <w:pStyle w:val="ConsPlusNormal"/>
              <w:jc w:val="center"/>
            </w:pPr>
            <w:r>
              <w:t>0,</w:t>
            </w:r>
            <w:r w:rsidR="008035DB">
              <w:t>32824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634CDE" w:rsidP="005C7B8F">
            <w:pPr>
              <w:pStyle w:val="ConsPlusNormal"/>
              <w:jc w:val="center"/>
            </w:pPr>
            <w:r>
              <w:t>0,94156</w:t>
            </w:r>
          </w:p>
        </w:tc>
        <w:tc>
          <w:tcPr>
            <w:tcW w:w="1032" w:type="dxa"/>
          </w:tcPr>
          <w:p w:rsidR="00F515F6" w:rsidRDefault="001A0FCF" w:rsidP="006D3B6C">
            <w:pPr>
              <w:pStyle w:val="ConsPlusNormal"/>
              <w:jc w:val="center"/>
            </w:pPr>
            <w:r>
              <w:t>1,</w:t>
            </w:r>
            <w:r w:rsidR="006D3B6C">
              <w:t>15217</w:t>
            </w:r>
          </w:p>
        </w:tc>
        <w:tc>
          <w:tcPr>
            <w:tcW w:w="1187" w:type="dxa"/>
          </w:tcPr>
          <w:p w:rsidR="00F515F6" w:rsidRDefault="00522838" w:rsidP="008035DB">
            <w:pPr>
              <w:pStyle w:val="ConsPlusNormal"/>
              <w:jc w:val="center"/>
            </w:pPr>
            <w:r>
              <w:t>0,</w:t>
            </w:r>
            <w:r w:rsidR="008035DB">
              <w:t>21061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both"/>
            </w:pPr>
            <w:r>
              <w:t>Показатель средней частоты прекращений передачи электрической энергии (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419100" cy="25146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32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F515F6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634CDE" w:rsidP="005C7B8F">
            <w:pPr>
              <w:pStyle w:val="ConsPlusNormal"/>
              <w:jc w:val="center"/>
            </w:pPr>
            <w:r>
              <w:t>0,02163</w:t>
            </w:r>
          </w:p>
        </w:tc>
        <w:tc>
          <w:tcPr>
            <w:tcW w:w="1032" w:type="dxa"/>
          </w:tcPr>
          <w:p w:rsidR="00F515F6" w:rsidRDefault="00A3003B" w:rsidP="008035DB">
            <w:pPr>
              <w:pStyle w:val="ConsPlusNormal"/>
              <w:jc w:val="center"/>
            </w:pPr>
            <w:r>
              <w:t>0,1</w:t>
            </w:r>
            <w:r w:rsidR="008035DB">
              <w:t>936</w:t>
            </w:r>
          </w:p>
        </w:tc>
        <w:tc>
          <w:tcPr>
            <w:tcW w:w="1187" w:type="dxa"/>
          </w:tcPr>
          <w:p w:rsidR="00F515F6" w:rsidRDefault="00522838" w:rsidP="008035DB">
            <w:pPr>
              <w:pStyle w:val="ConsPlusNormal"/>
              <w:jc w:val="center"/>
            </w:pPr>
            <w:r>
              <w:t>0,1</w:t>
            </w:r>
            <w:r w:rsidR="008035DB">
              <w:t>7197</w:t>
            </w:r>
          </w:p>
        </w:tc>
      </w:tr>
      <w:tr w:rsidR="00F515F6" w:rsidTr="00E554D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634CDE" w:rsidP="005C7B8F">
            <w:pPr>
              <w:pStyle w:val="ConsPlusNormal"/>
              <w:jc w:val="center"/>
            </w:pPr>
            <w:r>
              <w:t>0,49911</w:t>
            </w:r>
          </w:p>
        </w:tc>
        <w:tc>
          <w:tcPr>
            <w:tcW w:w="1032" w:type="dxa"/>
          </w:tcPr>
          <w:p w:rsidR="00F515F6" w:rsidRDefault="00A3003B" w:rsidP="00DB4330">
            <w:pPr>
              <w:pStyle w:val="ConsPlusNormal"/>
              <w:jc w:val="center"/>
            </w:pPr>
            <w:r>
              <w:t>0,5</w:t>
            </w:r>
            <w:r w:rsidR="008035DB">
              <w:t>8036</w:t>
            </w:r>
          </w:p>
        </w:tc>
        <w:tc>
          <w:tcPr>
            <w:tcW w:w="1187" w:type="dxa"/>
          </w:tcPr>
          <w:p w:rsidR="00F515F6" w:rsidRDefault="001606F3" w:rsidP="00217AC9">
            <w:pPr>
              <w:pStyle w:val="ConsPlusNormal"/>
              <w:jc w:val="center"/>
            </w:pPr>
            <w:r>
              <w:t>0,</w:t>
            </w:r>
            <w:r w:rsidR="009F6A53">
              <w:t>0</w:t>
            </w:r>
            <w:r w:rsidR="00217AC9">
              <w:t>8125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both"/>
            </w:pPr>
            <w: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>
              <w:rPr>
                <w:noProof/>
                <w:position w:val="-9"/>
              </w:rPr>
              <w:drawing>
                <wp:inline distT="0" distB="0" distL="0" distR="0" wp14:anchorId="2841D201" wp14:editId="0022263E">
                  <wp:extent cx="657225" cy="2603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both"/>
            </w:pPr>
            <w: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>
              <w:rPr>
                <w:noProof/>
                <w:position w:val="-9"/>
              </w:rPr>
              <w:lastRenderedPageBreak/>
              <w:drawing>
                <wp:inline distT="0" distB="0" distL="0" distR="0" wp14:anchorId="3921BCA4" wp14:editId="5E4EA82F">
                  <wp:extent cx="662940" cy="2603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32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both"/>
            </w:pPr>
            <w: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5C7B8F" w:rsidRDefault="00A624E2" w:rsidP="005C7B8F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5C7B8F" w:rsidRDefault="00217AC9" w:rsidP="005C7B8F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C7B8F" w:rsidRDefault="00D42D9E" w:rsidP="005C7B8F">
            <w:pPr>
              <w:pStyle w:val="ConsPlusNormal"/>
              <w:jc w:val="center"/>
            </w:pPr>
            <w:r>
              <w:t>-192</w:t>
            </w:r>
          </w:p>
        </w:tc>
      </w:tr>
      <w:tr w:rsidR="005C7B8F" w:rsidTr="00E554D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both"/>
            </w:pPr>
            <w: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B8F" w:rsidRDefault="00A624E2" w:rsidP="005C7B8F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8F" w:rsidRDefault="00217AC9" w:rsidP="0037181C">
            <w:pPr>
              <w:pStyle w:val="ConsPlusNormal"/>
              <w:jc w:val="center"/>
            </w:pPr>
            <w:r>
              <w:t>109</w:t>
            </w:r>
            <w:bookmarkStart w:id="0" w:name="_GoBack"/>
            <w:bookmarkEnd w:id="0"/>
          </w:p>
          <w:p w:rsidR="0037181C" w:rsidRDefault="0037181C" w:rsidP="0037181C">
            <w:pPr>
              <w:pStyle w:val="ConsPlusNormal"/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8F" w:rsidRDefault="00D42D9E" w:rsidP="00D42D9E">
            <w:pPr>
              <w:pStyle w:val="ConsPlusNormal"/>
              <w:jc w:val="center"/>
            </w:pPr>
            <w:r>
              <w:t>-38</w:t>
            </w:r>
          </w:p>
        </w:tc>
      </w:tr>
    </w:tbl>
    <w:p w:rsidR="00F515F6" w:rsidRDefault="00217AC9">
      <w:pPr>
        <w:pStyle w:val="ConsPlusNormal"/>
      </w:pPr>
      <w:hyperlink r:id="rId9">
        <w:r w:rsidR="00F515F6">
          <w:rPr>
            <w:i/>
            <w:color w:val="0000FF"/>
          </w:rPr>
          <w:br/>
          <w:t>Приказ Минэнерго России от 15.04.2014 N 186 (ред. от 07.07.2021) "О Единых стандартах качества обслуживания сетевыми организациями потребителей услуг сетевых организаций" {</w:t>
        </w:r>
        <w:proofErr w:type="spellStart"/>
        <w:r w:rsidR="00F515F6">
          <w:rPr>
            <w:i/>
            <w:color w:val="0000FF"/>
          </w:rPr>
          <w:t>КонсультантПлюс</w:t>
        </w:r>
        <w:proofErr w:type="spellEnd"/>
        <w:r w:rsidR="00F515F6">
          <w:rPr>
            <w:i/>
            <w:color w:val="0000FF"/>
          </w:rPr>
          <w:t>}</w:t>
        </w:r>
      </w:hyperlink>
      <w:r w:rsidR="00F515F6">
        <w:br/>
      </w:r>
    </w:p>
    <w:p w:rsidR="00E624FA" w:rsidRDefault="00E624FA"/>
    <w:sectPr w:rsidR="00E624FA" w:rsidSect="007C2F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F6"/>
    <w:rsid w:val="001606F3"/>
    <w:rsid w:val="001A0FCF"/>
    <w:rsid w:val="00217AC9"/>
    <w:rsid w:val="0037181C"/>
    <w:rsid w:val="003D5B14"/>
    <w:rsid w:val="00522838"/>
    <w:rsid w:val="005C7B8F"/>
    <w:rsid w:val="00634CDE"/>
    <w:rsid w:val="006D3B6C"/>
    <w:rsid w:val="007C2FEC"/>
    <w:rsid w:val="008035DB"/>
    <w:rsid w:val="009F6A53"/>
    <w:rsid w:val="00A3003B"/>
    <w:rsid w:val="00A624E2"/>
    <w:rsid w:val="00C20B0C"/>
    <w:rsid w:val="00D1484D"/>
    <w:rsid w:val="00D324FA"/>
    <w:rsid w:val="00D42D9E"/>
    <w:rsid w:val="00DB4330"/>
    <w:rsid w:val="00E554DC"/>
    <w:rsid w:val="00E624FA"/>
    <w:rsid w:val="00F515F6"/>
    <w:rsid w:val="00F6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983D-D456-42B7-83F3-B07102A7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5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7255&amp;dst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8479-199E-4EA3-85FD-4562BD59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Татьяна Валерьевна</dc:creator>
  <cp:keywords/>
  <dc:description/>
  <cp:lastModifiedBy>Фокина Татьяна Валерьевна</cp:lastModifiedBy>
  <cp:revision>13</cp:revision>
  <cp:lastPrinted>2026-03-25T11:50:00Z</cp:lastPrinted>
  <dcterms:created xsi:type="dcterms:W3CDTF">2026-03-23T12:22:00Z</dcterms:created>
  <dcterms:modified xsi:type="dcterms:W3CDTF">2026-04-30T10:37:00Z</dcterms:modified>
</cp:coreProperties>
</file>